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AE2C" w14:textId="77777777" w:rsidR="00935BF9" w:rsidRPr="009E76DC" w:rsidRDefault="00935BF9" w:rsidP="00935BF9">
      <w:pPr>
        <w:jc w:val="center"/>
        <w:rPr>
          <w:rFonts w:asciiTheme="majorBidi" w:hAnsiTheme="majorBidi" w:cstheme="majorBidi"/>
        </w:rPr>
      </w:pPr>
      <w:r w:rsidRPr="009E76DC">
        <w:rPr>
          <w:rFonts w:asciiTheme="majorBidi" w:hAnsiTheme="majorBidi" w:cstheme="majorBidi"/>
          <w:sz w:val="32"/>
          <w:szCs w:val="32"/>
        </w:rPr>
        <w:object w:dxaOrig="1560" w:dyaOrig="1728" w14:anchorId="55F6E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658740180" r:id="rId5"/>
        </w:object>
      </w:r>
    </w:p>
    <w:p w14:paraId="4715D0E2" w14:textId="77777777" w:rsidR="00935BF9" w:rsidRPr="007A35A9" w:rsidRDefault="00935BF9" w:rsidP="007A35A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ประกาศองค์การบริหารส่วนตำบลเฉลียง</w:t>
      </w:r>
    </w:p>
    <w:p w14:paraId="2AFB5488" w14:textId="17C91D76" w:rsidR="00935BF9" w:rsidRPr="007A35A9" w:rsidRDefault="00935BF9" w:rsidP="007A35A9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Pr="007A35A9">
        <w:rPr>
          <w:rFonts w:ascii="TH Niramit AS" w:hAnsi="TH Niramit AS" w:cs="TH Niramit AS"/>
          <w:sz w:val="32"/>
          <w:szCs w:val="32"/>
          <w:cs/>
        </w:rPr>
        <w:t>มาตรการการใช้ดุลยพินิจ และอำนาจหน้าที่ให้เป็นไปตามหลักการบริหารกิจการบ้านเมืองที่ดี</w:t>
      </w:r>
    </w:p>
    <w:p w14:paraId="06E6A480" w14:textId="77777777" w:rsidR="00935BF9" w:rsidRPr="007A35A9" w:rsidRDefault="00935BF9" w:rsidP="007A35A9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>**********************</w:t>
      </w:r>
    </w:p>
    <w:p w14:paraId="594173BA" w14:textId="5892B705" w:rsidR="00935BF9" w:rsidRPr="007A35A9" w:rsidRDefault="00935BF9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 xml:space="preserve">องค์การบริหารส่วนตำบลเฉลียง  มีหน้าที่ในการให้บริการสาธารณะ เพื่อให้เกิดประโยชน์สูงสุดแก่ประชาชน   ตามพระราชบัญญัติสภาตำบลและองค์การบริหารส่วนตำบล  พ.ศ.๒๕๓๗  แก้ไขเพิ่มเติมฉบับที่ ๖  พ.ศ. ๒๕๕๒  และพระราชบัญญัติกำหนดแผนและขั้นตอนการกระจายอำนาจให้แก่องค์กรปกครองส่วนท้องถิ่น  พ.ศ. ๒๕๔๒  และหน้าที่ตามที่กฎหมายอื่นกำหนดไว้  ซึ่งในการปฏิบัติหน้าที่บริหารกิจการขององค์การบริหารส่วนตำบล ควบคุม ดูแล พนักงานส่วนตำบล และพนักงานจ้าง ฝ่ายบริหาร  โดย นายกองค์การบริหารส่วนตำบล เป็นผู้กำหนดนโยบายการปฏิบัติงานให้เป็นไปตามกฎหมาย ระเบียบ ข้อบังคับ และมีปลัดองค์การบริหารส่วนตำบล เป็นผู้บังคับบัญชาข้าราชการ  มีอำนาจในการสั่งการ อนุญาต อนุมัติ เพื่อปฏิบัติงานภายในหน่วยงาน  แต่ในการปฏิบัติหน้าที่ของฝ่ายบริหารด้วยการที่อำนาจทางปกครอง  โดยเฉพาะในส่วนที่กฎหมายกำหนดให้เป็นการใช้ดุลยพินิจของผู้มีอำนาจ  ในการตัดสินใจอนุญาต อนุมัติ หรือมีคำสั่งในเรื่องนั้น  อย่างรอบคอบ  มีขอบเขตและมีเหตุผลสนับสนุนการใช้ดุลยพินิจอย่างเพียงพอ   </w:t>
      </w:r>
    </w:p>
    <w:p w14:paraId="3F018D5F" w14:textId="77777777" w:rsidR="00935BF9" w:rsidRPr="007A35A9" w:rsidRDefault="00935BF9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16"/>
          <w:szCs w:val="16"/>
        </w:rPr>
      </w:pPr>
    </w:p>
    <w:p w14:paraId="6B1F169D" w14:textId="797F9891" w:rsidR="00935BF9" w:rsidRPr="007A35A9" w:rsidRDefault="00935BF9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="003541D5" w:rsidRPr="007A35A9">
        <w:rPr>
          <w:rFonts w:ascii="TH Niramit AS" w:hAnsi="TH Niramit AS" w:cs="TH Niramit AS"/>
          <w:sz w:val="32"/>
          <w:szCs w:val="32"/>
          <w:cs/>
        </w:rPr>
        <w:t>ดังนั้น เพื่อให้เกิดความโปร่งใส่ในการใช้ดุลยพินิจในการออกคำสั่ง  อนุญาต อนุมัติ  ในภารกิจขององค์การบริหารส่วนตำบลเฉลียง  เป็นไปตามหลักธรรมา</w:t>
      </w:r>
      <w:proofErr w:type="spellStart"/>
      <w:r w:rsidR="003541D5" w:rsidRPr="007A35A9">
        <w:rPr>
          <w:rFonts w:ascii="TH Niramit AS" w:hAnsi="TH Niramit AS" w:cs="TH Niramit AS"/>
          <w:sz w:val="32"/>
          <w:szCs w:val="32"/>
          <w:cs/>
        </w:rPr>
        <w:t>ภิ</w:t>
      </w:r>
      <w:proofErr w:type="spellEnd"/>
      <w:r w:rsidR="003541D5" w:rsidRPr="007A35A9">
        <w:rPr>
          <w:rFonts w:ascii="TH Niramit AS" w:hAnsi="TH Niramit AS" w:cs="TH Niramit AS"/>
          <w:sz w:val="32"/>
          <w:szCs w:val="32"/>
          <w:cs/>
        </w:rPr>
        <w:t xml:space="preserve">บาล  จึงได้กำหนดมาตรการการใช้ดุลยพินิจของฝ่ายบริหารไว้ดังนี้ </w:t>
      </w:r>
    </w:p>
    <w:p w14:paraId="2F0CF6ED" w14:textId="7B9707AF" w:rsidR="003541D5" w:rsidRPr="007A35A9" w:rsidRDefault="003541D5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</w:rPr>
        <w:tab/>
      </w:r>
      <w:r w:rsidRPr="007A35A9">
        <w:rPr>
          <w:rFonts w:ascii="TH Niramit AS" w:hAnsi="TH Niramit AS" w:cs="TH Niramit AS"/>
          <w:sz w:val="32"/>
          <w:szCs w:val="32"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>๑. การใช้ดุลยพินิจของฝ่ายบริหาร  ต้องเป็นไปตามที่กฎหมายบัญญัติให้กระทำการอย่างหนึ่งอย่างใดโดยอิสระ</w:t>
      </w:r>
    </w:p>
    <w:p w14:paraId="6C0EBBEF" w14:textId="22DF5340" w:rsidR="003541D5" w:rsidRPr="007A35A9" w:rsidRDefault="003541D5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  <w:t>๒. ขั้นตอนการใช้ดุลยพินิจต้องประกอบเหตุผล ดังนี้</w:t>
      </w:r>
    </w:p>
    <w:p w14:paraId="22B3792D" w14:textId="64FC4414" w:rsidR="00935BF9" w:rsidRPr="007A35A9" w:rsidRDefault="003541D5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  <w:t xml:space="preserve">๒.๑ ขั้นตอนแรก  ข้อเท็จจริงอันเป็นสาระสำคัญ  ซึ่งการวินิจฉัยข้อเท็จจริงนั้นต้องตรวจสอบข้อเท็จจริงที่เกิดขึ้น  จากพยานหลักฐานที่มีอยู่เพียงพอต่อการพิสูจน์ข้อเท็จจริงว่าได้เกิดขั้นหรือไม่ </w:t>
      </w:r>
    </w:p>
    <w:p w14:paraId="3CCC9D97" w14:textId="701DE3DA" w:rsidR="003541D5" w:rsidRPr="007A35A9" w:rsidRDefault="003541D5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</w:rPr>
        <w:tab/>
      </w:r>
      <w:r w:rsidRPr="007A35A9">
        <w:rPr>
          <w:rFonts w:ascii="TH Niramit AS" w:hAnsi="TH Niramit AS" w:cs="TH Niramit AS"/>
          <w:sz w:val="32"/>
          <w:szCs w:val="32"/>
        </w:rPr>
        <w:tab/>
      </w:r>
      <w:r w:rsidRPr="007A35A9">
        <w:rPr>
          <w:rFonts w:ascii="TH Niramit AS" w:hAnsi="TH Niramit AS" w:cs="TH Niramit AS"/>
          <w:sz w:val="32"/>
          <w:szCs w:val="32"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>๒.๒ ขั้นตอนที่สอง ข้อกฎหมายที่อ้างอิงประกอบข้อเท็จจริงตาม (๒.๑) ที่เกี่ยวข้องและเป็นสาระสำคัญ</w:t>
      </w:r>
    </w:p>
    <w:p w14:paraId="45BB1D4D" w14:textId="1845DB02" w:rsidR="003541D5" w:rsidRDefault="003541D5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</w:r>
      <w:r w:rsidRPr="007A35A9">
        <w:rPr>
          <w:rFonts w:ascii="TH Niramit AS" w:hAnsi="TH Niramit AS" w:cs="TH Niramit AS"/>
          <w:sz w:val="32"/>
          <w:szCs w:val="32"/>
          <w:cs/>
        </w:rPr>
        <w:tab/>
        <w:t xml:space="preserve">๒.๓ ขั้นตอนที่สาม  ข้อพิจารณาและข้อสนับสนุน ซึ่งผู้ใช้ดุลยพินิจจะต้องพิจารณาตัดสินใจว่ากฎหมายได้กำหนดให้ใช้ดุลยพินิจได้เพียงประการเดียว  หรือหลายประการ </w:t>
      </w:r>
      <w:r w:rsidR="007A35A9" w:rsidRPr="007A35A9">
        <w:rPr>
          <w:rFonts w:ascii="TH Niramit AS" w:hAnsi="TH Niramit AS" w:cs="TH Niramit AS"/>
          <w:sz w:val="32"/>
          <w:szCs w:val="32"/>
          <w:cs/>
        </w:rPr>
        <w:t>ซึ่งสามารถตัดสินใจใช้อำนาจหรือไม่ก็ได้  หรือจะเลือกกระทำการอย่างหนึ่งอย่างใดก็ได้ตาที่กฎหมายกำหนด</w:t>
      </w:r>
    </w:p>
    <w:p w14:paraId="4AEF999E" w14:textId="77777777" w:rsidR="007A35A9" w:rsidRPr="007A35A9" w:rsidRDefault="007A35A9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/>
          <w:sz w:val="16"/>
          <w:szCs w:val="16"/>
        </w:rPr>
      </w:pPr>
    </w:p>
    <w:p w14:paraId="2E545F12" w14:textId="421AC6B5" w:rsidR="007A35A9" w:rsidRPr="007A35A9" w:rsidRDefault="007A35A9" w:rsidP="007A35A9">
      <w:pPr>
        <w:pStyle w:val="a3"/>
        <w:spacing w:before="0" w:beforeAutospacing="0" w:after="0" w:afterAutospacing="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จึงประกาศมาเพื่อทรายโดยทั่วกัน</w:t>
      </w:r>
    </w:p>
    <w:p w14:paraId="5A3C7BCD" w14:textId="3805B374" w:rsidR="00935BF9" w:rsidRPr="007A35A9" w:rsidRDefault="007A35A9" w:rsidP="007A35A9">
      <w:pPr>
        <w:spacing w:before="240"/>
        <w:ind w:left="1440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935BF9" w:rsidRPr="007A35A9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  </w:t>
      </w:r>
      <w:r>
        <w:rPr>
          <w:rFonts w:ascii="TH Niramit AS" w:hAnsi="TH Niramit AS" w:cs="TH Niramit AS" w:hint="cs"/>
          <w:sz w:val="32"/>
          <w:szCs w:val="32"/>
          <w:cs/>
        </w:rPr>
        <w:t>๙</w:t>
      </w:r>
      <w:r w:rsidR="00935BF9" w:rsidRPr="007A35A9">
        <w:rPr>
          <w:rFonts w:ascii="TH Niramit AS" w:hAnsi="TH Niramit AS" w:cs="TH Niramit AS"/>
          <w:sz w:val="32"/>
          <w:szCs w:val="32"/>
          <w:cs/>
        </w:rPr>
        <w:t xml:space="preserve"> เดือน   </w:t>
      </w:r>
      <w:r>
        <w:rPr>
          <w:rFonts w:ascii="TH Niramit AS" w:hAnsi="TH Niramit AS" w:cs="TH Niramit AS" w:hint="cs"/>
          <w:sz w:val="32"/>
          <w:szCs w:val="32"/>
          <w:cs/>
        </w:rPr>
        <w:t>มกราคม</w:t>
      </w:r>
      <w:r w:rsidR="00935BF9" w:rsidRPr="007A35A9">
        <w:rPr>
          <w:rFonts w:ascii="TH Niramit AS" w:hAnsi="TH Niramit AS" w:cs="TH Niramit AS"/>
          <w:sz w:val="32"/>
          <w:szCs w:val="32"/>
          <w:cs/>
        </w:rPr>
        <w:t xml:space="preserve">   พ.ศ. ๒๕๖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</w:p>
    <w:p w14:paraId="3A9BE0EE" w14:textId="6E263299" w:rsidR="00935BF9" w:rsidRPr="007A35A9" w:rsidRDefault="00FB05D8" w:rsidP="007A35A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</w:t>
      </w:r>
      <w:r w:rsidRPr="00042B0E">
        <w:rPr>
          <w:noProof/>
        </w:rPr>
        <w:drawing>
          <wp:inline distT="0" distB="0" distL="0" distR="0" wp14:anchorId="5B4C1CC1" wp14:editId="323C790E">
            <wp:extent cx="1552575" cy="447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0CE80" w14:textId="77777777" w:rsidR="00935BF9" w:rsidRPr="007A35A9" w:rsidRDefault="00935BF9" w:rsidP="007A35A9">
      <w:pPr>
        <w:ind w:left="360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(นายวิเชียร  วัฒนาประชากุล)</w:t>
      </w:r>
    </w:p>
    <w:p w14:paraId="64CEB547" w14:textId="77777777" w:rsidR="00935BF9" w:rsidRPr="007A35A9" w:rsidRDefault="00935BF9" w:rsidP="007A35A9">
      <w:pPr>
        <w:ind w:left="288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A35A9">
        <w:rPr>
          <w:rFonts w:ascii="TH Niramit AS" w:hAnsi="TH Niramit AS" w:cs="TH Niramit AS"/>
          <w:sz w:val="32"/>
          <w:szCs w:val="32"/>
          <w:cs/>
        </w:rPr>
        <w:t xml:space="preserve">            นายกองค์การบริหารส่วนตำบลเฉลียง</w:t>
      </w:r>
    </w:p>
    <w:p w14:paraId="690D4825" w14:textId="77777777" w:rsidR="00935BF9" w:rsidRPr="007A35A9" w:rsidRDefault="00935BF9" w:rsidP="007A35A9">
      <w:pPr>
        <w:jc w:val="thaiDistribute"/>
        <w:rPr>
          <w:rFonts w:ascii="TH Niramit AS" w:hAnsi="TH Niramit AS" w:cs="TH Niramit AS"/>
        </w:rPr>
      </w:pPr>
    </w:p>
    <w:p w14:paraId="02C3A6A2" w14:textId="77777777" w:rsidR="00F34EA3" w:rsidRPr="007A35A9" w:rsidRDefault="00F34EA3" w:rsidP="007A35A9">
      <w:pPr>
        <w:jc w:val="thaiDistribute"/>
        <w:rPr>
          <w:rFonts w:ascii="TH Niramit AS" w:hAnsi="TH Niramit AS" w:cs="TH Niramit AS"/>
        </w:rPr>
      </w:pPr>
    </w:p>
    <w:sectPr w:rsidR="00F34EA3" w:rsidRPr="007A35A9" w:rsidSect="00FB05D8">
      <w:pgSz w:w="11906" w:h="16838"/>
      <w:pgMar w:top="142" w:right="991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F9"/>
    <w:rsid w:val="00080D02"/>
    <w:rsid w:val="003541D5"/>
    <w:rsid w:val="007A35A9"/>
    <w:rsid w:val="00935BF9"/>
    <w:rsid w:val="00F34EA3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0341"/>
  <w15:chartTrackingRefBased/>
  <w15:docId w15:val="{DBE5BABD-5A83-472C-8134-60F0EB1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5BF9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Chaleang Atb</dc:creator>
  <cp:keywords/>
  <dc:description/>
  <cp:lastModifiedBy>Chaleang Atb</cp:lastModifiedBy>
  <cp:revision>4</cp:revision>
  <dcterms:created xsi:type="dcterms:W3CDTF">2020-08-12T04:53:00Z</dcterms:created>
  <dcterms:modified xsi:type="dcterms:W3CDTF">2020-08-12T05:23:00Z</dcterms:modified>
</cp:coreProperties>
</file>